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暨南大学化学与材料学院本科生学习成果汇总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（数据统计时间：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2015年1月-2018年3月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</w:t>
      </w:r>
    </w:p>
    <w:tbl>
      <w:tblPr>
        <w:tblStyle w:val="7"/>
        <w:tblW w:w="9624" w:type="dxa"/>
        <w:jc w:val="center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12"/>
        <w:gridCol w:w="1257"/>
        <w:gridCol w:w="2736"/>
        <w:gridCol w:w="142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我院本科生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参与学科竞赛、技能竞赛获奖情况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（获奖需提供证书复印件或扫描件）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2736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（特等奖/一等奖/二等奖/三等奖/金牌/银等）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获奖时间</w:t>
            </w:r>
          </w:p>
          <w:p>
            <w:pPr>
              <w:widowControl w:val="0"/>
              <w:adjustRightInd w:val="0"/>
              <w:spacing w:after="0" w:line="300" w:lineRule="atLeas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（年月）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获奖者姓名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（本科生年级专业姓名）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</w:p>
    <w:tbl>
      <w:tblPr>
        <w:tblStyle w:val="7"/>
        <w:tblW w:w="9578" w:type="dxa"/>
        <w:jc w:val="center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952"/>
        <w:gridCol w:w="2856"/>
        <w:gridCol w:w="1740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我院本科生发表论文情况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（发表论文需提供发表杂志封面、目录、全文电子版）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论文名称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期刊名称（影响因子）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（本科生年级、专业、姓名、第几作者）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eastAsia="zh-CN"/>
        </w:rPr>
      </w:pPr>
    </w:p>
    <w:tbl>
      <w:tblPr>
        <w:tblStyle w:val="7"/>
        <w:tblW w:w="9481" w:type="dxa"/>
        <w:jc w:val="center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12"/>
        <w:gridCol w:w="3407"/>
        <w:gridCol w:w="170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我院本科生参与专利发明情况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（专利需提供相关证明材料）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（本科生年级、专业、姓名）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申请号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eastAsia="zh-CN"/>
              </w:rPr>
              <w:t>授权公告号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eastAsia="zh-CN"/>
        </w:rPr>
      </w:pPr>
    </w:p>
    <w:tbl>
      <w:tblPr>
        <w:tblStyle w:val="7"/>
        <w:tblW w:w="9495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四、我院本科生“挑战杯”参与情况（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由学院提供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tbl>
      <w:tblPr>
        <w:tblStyle w:val="7"/>
        <w:tblW w:w="9525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五、我院本科生“大学生创新创业计划”参与情况（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由学院提供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623AB"/>
    <w:multiLevelType w:val="singleLevel"/>
    <w:tmpl w:val="801623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2018-04-12T06:28:00Z</dcterms:created>
  <dc:creator>Administrator</dc:creator>
  <cp:lastModifiedBy>a</cp:lastModifiedBy>
  <dcterms:modified xsi:type="dcterms:W3CDTF">2018-04-13T05:57:41Z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